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353EDF1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C952A0" w:rsidRPr="00C952A0">
        <w:rPr>
          <w:b/>
          <w:sz w:val="22"/>
          <w:szCs w:val="22"/>
        </w:rPr>
        <w:t>Emulzní nátěr na silnici III/2235 hranice okresu – křižovatka s 2236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40C40"/>
    <w:rsid w:val="001864CB"/>
    <w:rsid w:val="001A72A9"/>
    <w:rsid w:val="001D2D1A"/>
    <w:rsid w:val="001F0F29"/>
    <w:rsid w:val="00233F4C"/>
    <w:rsid w:val="00235902"/>
    <w:rsid w:val="00264C96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174C9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62E2E"/>
    <w:rsid w:val="006249AA"/>
    <w:rsid w:val="00626E8D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3181C"/>
    <w:rsid w:val="00A44EE0"/>
    <w:rsid w:val="00AB7132"/>
    <w:rsid w:val="00AC1D6B"/>
    <w:rsid w:val="00B04742"/>
    <w:rsid w:val="00B53352"/>
    <w:rsid w:val="00B75793"/>
    <w:rsid w:val="00BC34F6"/>
    <w:rsid w:val="00BE6BD6"/>
    <w:rsid w:val="00C25E1B"/>
    <w:rsid w:val="00C261D7"/>
    <w:rsid w:val="00C56028"/>
    <w:rsid w:val="00C77C05"/>
    <w:rsid w:val="00C952A0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34FB"/>
    <w:rsid w:val="00EB5000"/>
    <w:rsid w:val="00F04518"/>
    <w:rsid w:val="00F2112A"/>
    <w:rsid w:val="00F649B0"/>
    <w:rsid w:val="00F82343"/>
    <w:rsid w:val="00FB529D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17</cp:revision>
  <dcterms:created xsi:type="dcterms:W3CDTF">2023-03-28T08:13:00Z</dcterms:created>
  <dcterms:modified xsi:type="dcterms:W3CDTF">2024-06-07T06:58:00Z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